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EB0BC94" w14:textId="77777777" w:rsidR="007C42A6" w:rsidRDefault="007C42A6" w:rsidP="007C42A6">
      <w:pPr>
        <w:pStyle w:val="MDPI52figure"/>
      </w:pPr>
      <w:r>
        <w:rPr>
          <w:noProof/>
        </w:rPr>
        <w:drawing>
          <wp:inline distT="0" distB="0" distL="0" distR="0" wp14:anchorId="6DAC1C36" wp14:editId="0F173472">
            <wp:extent cx="5626619" cy="1670307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uppl Fig 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6619" cy="167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64917" w14:textId="070C1649" w:rsidR="00485C1B" w:rsidRDefault="00485C1B" w:rsidP="00485C1B">
      <w:pPr>
        <w:pStyle w:val="MDPI51figurecaption"/>
      </w:pPr>
      <w:r w:rsidRPr="00485C1B">
        <w:rPr>
          <w:b/>
          <w:bCs/>
        </w:rPr>
        <w:t>Supplementary Figure 1. Preservation of antibody reactivity against MM for B cell differentiation upon fixation and permeabilization of PBMCs</w:t>
      </w:r>
      <w:r>
        <w:rPr>
          <w:b/>
          <w:bCs/>
        </w:rPr>
        <w:t xml:space="preserve">. </w:t>
      </w:r>
      <w:r>
        <w:t xml:space="preserve">Thawed human PBMCs from -80 </w:t>
      </w:r>
      <w:proofErr w:type="spellStart"/>
      <w:r>
        <w:rPr>
          <w:vertAlign w:val="superscript"/>
        </w:rPr>
        <w:t>o</w:t>
      </w:r>
      <w:r>
        <w:t>C</w:t>
      </w:r>
      <w:proofErr w:type="spellEnd"/>
      <w:r>
        <w:t xml:space="preserve"> storage </w:t>
      </w:r>
      <w:r w:rsidRPr="004E2CFA">
        <w:t>were</w:t>
      </w:r>
      <w:r>
        <w:t xml:space="preserve"> washed and were either stained for MM, stained for MM before fixation with 4% PFA and permeabilization with 90% methanol or stained for MM after fixation with 4% PFA and permeabilization with 90% methanol.</w:t>
      </w:r>
      <w:r>
        <w:t xml:space="preserve"> </w:t>
      </w:r>
      <w:r w:rsidRPr="00485C1B">
        <w:rPr>
          <w:b/>
          <w:bCs/>
        </w:rPr>
        <w:t>(A)</w:t>
      </w:r>
      <w:r>
        <w:t xml:space="preserve"> Representative FACS plots of PBMCs comparing antibody reactivity of anti-CD19, -CD27 and -CD38 antibodies stained directly without fixation and permeabilization (left), stained before fixation and permeabilization (middle) or stained after fixation and permeabilization (right). </w:t>
      </w:r>
      <w:r>
        <w:t xml:space="preserve"> </w:t>
      </w:r>
      <w:r w:rsidRPr="00485C1B">
        <w:rPr>
          <w:b/>
          <w:bCs/>
        </w:rPr>
        <w:t>(B)</w:t>
      </w:r>
      <w:r>
        <w:t xml:space="preserve"> Quantification of percentage positive cells stained with the respective anti-CD19, -CD27 and -CD38 antibodies (left) and MFI of positive cells (right) stained directly without fixation and permeabilization, stained before fixation and permeabilization or stained after fixation and permeabilization. N = 3</w:t>
      </w:r>
    </w:p>
    <w:p w14:paraId="19860D9C" w14:textId="0CC0C4DC" w:rsidR="007C42A6" w:rsidRDefault="007C42A6" w:rsidP="007C42A6">
      <w:pPr>
        <w:pStyle w:val="MDPI52figure"/>
      </w:pPr>
      <w:r w:rsidRPr="007C42A6">
        <w:rPr>
          <w:noProof/>
        </w:rPr>
        <w:lastRenderedPageBreak/>
        <w:drawing>
          <wp:inline distT="0" distB="0" distL="0" distR="0" wp14:anchorId="5A4CE983" wp14:editId="66EF99DB">
            <wp:extent cx="5943600" cy="6875780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 Fig 2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7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F79CB" w14:textId="2C177EBF" w:rsidR="00C24210" w:rsidRDefault="00C24210" w:rsidP="007C42A6">
      <w:pPr>
        <w:pStyle w:val="MDPI51figurecaption"/>
      </w:pPr>
      <w:r w:rsidRPr="007C42A6">
        <w:rPr>
          <w:b/>
          <w:bCs/>
        </w:rPr>
        <w:t>Supplementary Figure 2. Representative gating strategy for the gating of CD19</w:t>
      </w:r>
      <w:r w:rsidRPr="007C42A6">
        <w:rPr>
          <w:b/>
          <w:bCs/>
          <w:vertAlign w:val="superscript"/>
        </w:rPr>
        <w:t>+</w:t>
      </w:r>
      <w:r w:rsidRPr="007C42A6">
        <w:rPr>
          <w:b/>
          <w:bCs/>
        </w:rPr>
        <w:t xml:space="preserve"> B cells.</w:t>
      </w:r>
      <w:r w:rsidR="007C42A6">
        <w:rPr>
          <w:b/>
          <w:bCs/>
        </w:rPr>
        <w:t xml:space="preserve"> </w:t>
      </w:r>
      <w:r>
        <w:t>Live single CD19</w:t>
      </w:r>
      <w:r>
        <w:rPr>
          <w:vertAlign w:val="superscript"/>
        </w:rPr>
        <w:t xml:space="preserve">+ </w:t>
      </w:r>
      <w:r>
        <w:t xml:space="preserve">B cells were gated on as depicted. First </w:t>
      </w:r>
      <w:proofErr w:type="gramStart"/>
      <w:r>
        <w:t>a</w:t>
      </w:r>
      <w:proofErr w:type="gramEnd"/>
      <w:r>
        <w:t xml:space="preserve"> FSC/SSC gate is set for the lymphocyte population that contains the CD19</w:t>
      </w:r>
      <w:r>
        <w:rPr>
          <w:vertAlign w:val="superscript"/>
        </w:rPr>
        <w:t xml:space="preserve">+ </w:t>
      </w:r>
      <w:r>
        <w:t>B cells. Doublets were excluded by setting two single cell gates on both the FSC-A/FSC-H and SSC-A/SSC-H parameters. Dead cells were excluded using a live/dead fixable viability stain and CD19</w:t>
      </w:r>
      <w:r>
        <w:rPr>
          <w:vertAlign w:val="superscript"/>
        </w:rPr>
        <w:t>+</w:t>
      </w:r>
      <w:r>
        <w:t xml:space="preserve"> cells were gated on.</w:t>
      </w:r>
    </w:p>
    <w:p w14:paraId="1F6E57A0" w14:textId="77777777" w:rsidR="007C42A6" w:rsidRDefault="007C42A6" w:rsidP="007C42A6">
      <w:pPr>
        <w:pStyle w:val="MDPI51figurecaption"/>
        <w:rPr>
          <w:b/>
          <w:bCs/>
        </w:rPr>
      </w:pPr>
    </w:p>
    <w:p w14:paraId="785DB275" w14:textId="7622C143" w:rsidR="007C42A6" w:rsidRDefault="007C42A6" w:rsidP="007C42A6">
      <w:pPr>
        <w:pStyle w:val="MDPI52figure"/>
      </w:pPr>
      <w:r>
        <w:rPr>
          <w:noProof/>
        </w:rPr>
        <w:lastRenderedPageBreak/>
        <w:drawing>
          <wp:inline distT="0" distB="0" distL="0" distR="0" wp14:anchorId="2E5D15C9" wp14:editId="2642ABBE">
            <wp:extent cx="6413500" cy="8203935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uppl Fig 3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772" cy="8211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FFB57" w14:textId="38FD9943" w:rsidR="00485C1B" w:rsidRDefault="00485C1B" w:rsidP="00485C1B">
      <w:pPr>
        <w:pStyle w:val="MDPI51figurecaption"/>
      </w:pPr>
      <w:r w:rsidRPr="00485C1B">
        <w:rPr>
          <w:b/>
          <w:bCs/>
        </w:rPr>
        <w:lastRenderedPageBreak/>
        <w:t xml:space="preserve">Supplementary Figure 3. </w:t>
      </w:r>
      <w:bookmarkStart w:id="0" w:name="_Hlk54703187"/>
      <w:r w:rsidRPr="00485C1B">
        <w:rPr>
          <w:b/>
          <w:bCs/>
        </w:rPr>
        <w:t>Representative histograms of phosphoflow analysis at different time points of B cell differentiation.</w:t>
      </w:r>
      <w:bookmarkEnd w:id="0"/>
      <w:r>
        <w:rPr>
          <w:b/>
          <w:bCs/>
        </w:rPr>
        <w:t xml:space="preserve"> </w:t>
      </w:r>
      <w:r>
        <w:t>Human B cells (n=3-4) were stimulated with human-CD40L expressing 3T3 feeder layer, an anti-Ig F(ab)</w:t>
      </w:r>
      <w:r w:rsidRPr="00AF6A8A">
        <w:rPr>
          <w:vertAlign w:val="subscript"/>
        </w:rPr>
        <w:t>2</w:t>
      </w:r>
      <w:r>
        <w:t xml:space="preserve"> mix (5 ug/ml) targeting IgM/IgG/IgA and recombinant cytokines IL-4 (25 ng/ml) and IL-21 (50 ng/ml) </w:t>
      </w:r>
      <w:r w:rsidRPr="008903F5">
        <w:t>and</w:t>
      </w:r>
      <w:r>
        <w:t xml:space="preserve"> analyzed for the expression multiple signaling proteins by phosphoflow analysis over the course of </w:t>
      </w:r>
      <w:r>
        <w:t>6-day</w:t>
      </w:r>
      <w:r>
        <w:t xml:space="preserve"> culture. Representative histogram overlays of p-STAT1, p-STAT3, p-STAT5, p-STAT6 and NF-</w:t>
      </w:r>
      <w:proofErr w:type="spellStart"/>
      <w:r>
        <w:t>κB</w:t>
      </w:r>
      <w:proofErr w:type="spellEnd"/>
      <w:r>
        <w:t xml:space="preserve"> p65 in the different CD27/CD38 subpopulations. All time points are shown (t= 0, 30min, 60min, 3h, 6h, 24h-144h)</w:t>
      </w:r>
    </w:p>
    <w:p w14:paraId="708456D6" w14:textId="45AB79B4" w:rsidR="00C24210" w:rsidRDefault="007C42A6" w:rsidP="007C42A6">
      <w:pPr>
        <w:pStyle w:val="MDPI52figure"/>
      </w:pPr>
      <w:r>
        <w:rPr>
          <w:noProof/>
        </w:rPr>
        <w:drawing>
          <wp:inline distT="0" distB="0" distL="0" distR="0" wp14:anchorId="5E68C1B6" wp14:editId="48AC1281">
            <wp:extent cx="5943600" cy="26974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uppl Fig 4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B8BF9" w14:textId="66FA8368" w:rsidR="00485C1B" w:rsidRPr="00746BC2" w:rsidRDefault="00485C1B" w:rsidP="00485C1B">
      <w:pPr>
        <w:pStyle w:val="MDPI51figurecaption"/>
      </w:pPr>
      <w:r w:rsidRPr="00485C1B">
        <w:rPr>
          <w:b/>
          <w:bCs/>
        </w:rPr>
        <w:t>Supplementary Figure 4. NF-</w:t>
      </w:r>
      <w:proofErr w:type="spellStart"/>
      <w:r w:rsidRPr="00485C1B">
        <w:rPr>
          <w:b/>
          <w:bCs/>
        </w:rPr>
        <w:t>κB</w:t>
      </w:r>
      <w:proofErr w:type="spellEnd"/>
      <w:r w:rsidRPr="00485C1B">
        <w:rPr>
          <w:b/>
          <w:bCs/>
        </w:rPr>
        <w:t xml:space="preserve"> p65 and p-STAT5 expression of 4 individual donors</w:t>
      </w:r>
      <w:r>
        <w:rPr>
          <w:b/>
          <w:bCs/>
        </w:rPr>
        <w:t xml:space="preserve">. </w:t>
      </w:r>
      <w:r>
        <w:t>Human B cells (n=4) were stimulated with human-CD40L expressing 3T3 feeder layer, an anti-Ig F(ab)</w:t>
      </w:r>
      <w:r w:rsidRPr="00AF6A8A">
        <w:rPr>
          <w:vertAlign w:val="subscript"/>
        </w:rPr>
        <w:t>2</w:t>
      </w:r>
      <w:r>
        <w:t xml:space="preserve"> mix (5 ug/ml) targeting IgM/IgG/IgA and recombinant cytokines IL-4 (25 ng/ml) and IL-21 (50 ng/ml) </w:t>
      </w:r>
      <w:r w:rsidRPr="008903F5">
        <w:t>and</w:t>
      </w:r>
      <w:r>
        <w:t xml:space="preserve"> analyzed for the expression multiple signaling proteins by phosphoflow analysis over the course of </w:t>
      </w:r>
      <w:r>
        <w:t>6-day</w:t>
      </w:r>
      <w:r>
        <w:t xml:space="preserve"> culture. </w:t>
      </w:r>
      <w:r w:rsidRPr="00485C1B">
        <w:rPr>
          <w:b/>
          <w:bCs/>
        </w:rPr>
        <w:t>(A)</w:t>
      </w:r>
      <w:r>
        <w:t xml:space="preserve"> Quantification of the GeoMFI of NF-</w:t>
      </w:r>
      <w:proofErr w:type="spellStart"/>
      <w:r>
        <w:t>κB</w:t>
      </w:r>
      <w:proofErr w:type="spellEnd"/>
      <w:r>
        <w:t xml:space="preserve"> p65 within CD27/CD38 subpopulations in 4 individual donors over the course of 6 days culture. Max y-axis = 1250 for the two left donors and max y-axis = 500 for the right two donors.</w:t>
      </w:r>
      <w:r>
        <w:t xml:space="preserve"> </w:t>
      </w:r>
      <w:r w:rsidRPr="00485C1B">
        <w:rPr>
          <w:b/>
          <w:bCs/>
        </w:rPr>
        <w:t>(B)</w:t>
      </w:r>
      <w:r>
        <w:t xml:space="preserve"> Quantification of the GeoMFI of p-STAT5 within CD27/CD38 subpopulations in 4 individual donors in 4 individual donors over the course of 6 days culture. </w:t>
      </w:r>
    </w:p>
    <w:p w14:paraId="0351272C" w14:textId="77777777" w:rsidR="00485C1B" w:rsidRDefault="00485C1B" w:rsidP="00C24210">
      <w:pPr>
        <w:jc w:val="both"/>
      </w:pPr>
    </w:p>
    <w:p w14:paraId="6D07500E" w14:textId="77777777" w:rsidR="00485C1B" w:rsidRDefault="00485C1B" w:rsidP="00C24210">
      <w:pPr>
        <w:jc w:val="both"/>
      </w:pPr>
    </w:p>
    <w:p w14:paraId="5B8B4AE9" w14:textId="77777777" w:rsidR="00485C1B" w:rsidRDefault="00485C1B" w:rsidP="00C24210">
      <w:pPr>
        <w:jc w:val="both"/>
      </w:pPr>
    </w:p>
    <w:p w14:paraId="00B5BC06" w14:textId="77777777" w:rsidR="00485C1B" w:rsidRDefault="00485C1B" w:rsidP="00C24210">
      <w:pPr>
        <w:jc w:val="both"/>
      </w:pPr>
    </w:p>
    <w:p w14:paraId="6F3E32C0" w14:textId="77777777" w:rsidR="00485C1B" w:rsidRDefault="00485C1B" w:rsidP="00C24210">
      <w:pPr>
        <w:jc w:val="both"/>
      </w:pPr>
    </w:p>
    <w:p w14:paraId="39E5DD38" w14:textId="77777777" w:rsidR="00485C1B" w:rsidRDefault="00485C1B" w:rsidP="00C24210">
      <w:pPr>
        <w:jc w:val="both"/>
      </w:pPr>
    </w:p>
    <w:p w14:paraId="271B76CE" w14:textId="0056F9D0" w:rsidR="00485C1B" w:rsidRDefault="00485C1B" w:rsidP="00C24210">
      <w:pPr>
        <w:jc w:val="both"/>
      </w:pPr>
    </w:p>
    <w:p w14:paraId="23BA570A" w14:textId="3EA9D022" w:rsidR="00485C1B" w:rsidRDefault="00485C1B" w:rsidP="00C24210">
      <w:pPr>
        <w:jc w:val="both"/>
      </w:pPr>
    </w:p>
    <w:p w14:paraId="13A284BE" w14:textId="5CCB1F13" w:rsidR="00485C1B" w:rsidRDefault="00485C1B" w:rsidP="00C24210">
      <w:pPr>
        <w:jc w:val="both"/>
      </w:pPr>
    </w:p>
    <w:p w14:paraId="777402A0" w14:textId="7DED6994" w:rsidR="00485C1B" w:rsidRDefault="00485C1B" w:rsidP="00C24210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23503CF1" wp14:editId="5BABCBEB">
            <wp:simplePos x="0" y="0"/>
            <wp:positionH relativeFrom="column">
              <wp:posOffset>527050</wp:posOffset>
            </wp:positionH>
            <wp:positionV relativeFrom="paragraph">
              <wp:posOffset>0</wp:posOffset>
            </wp:positionV>
            <wp:extent cx="4889500" cy="6527165"/>
            <wp:effectExtent l="0" t="0" r="6350" b="6985"/>
            <wp:wrapTight wrapText="bothSides">
              <wp:wrapPolygon edited="0">
                <wp:start x="0" y="0"/>
                <wp:lineTo x="0" y="21560"/>
                <wp:lineTo x="21544" y="21560"/>
                <wp:lineTo x="21544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9500" cy="6527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5EEA65" w14:textId="36F8EF42" w:rsidR="00485C1B" w:rsidRDefault="00485C1B" w:rsidP="00C24210">
      <w:pPr>
        <w:jc w:val="both"/>
      </w:pPr>
    </w:p>
    <w:p w14:paraId="053CE811" w14:textId="350D061E" w:rsidR="00485C1B" w:rsidRDefault="00485C1B" w:rsidP="00C24210">
      <w:pPr>
        <w:jc w:val="both"/>
      </w:pPr>
    </w:p>
    <w:p w14:paraId="60BC10F9" w14:textId="29E41679" w:rsidR="00485C1B" w:rsidRDefault="00485C1B" w:rsidP="00C24210">
      <w:pPr>
        <w:jc w:val="both"/>
      </w:pPr>
    </w:p>
    <w:p w14:paraId="2E3ED6A8" w14:textId="3BBDB570" w:rsidR="00485C1B" w:rsidRDefault="00485C1B" w:rsidP="00C24210">
      <w:pPr>
        <w:jc w:val="both"/>
      </w:pPr>
    </w:p>
    <w:p w14:paraId="77E64B52" w14:textId="58E48D7C" w:rsidR="00485C1B" w:rsidRDefault="00485C1B" w:rsidP="00C24210">
      <w:pPr>
        <w:jc w:val="both"/>
      </w:pPr>
    </w:p>
    <w:p w14:paraId="5314C243" w14:textId="5E6D539D" w:rsidR="00485C1B" w:rsidRDefault="00485C1B" w:rsidP="00C24210">
      <w:pPr>
        <w:jc w:val="both"/>
      </w:pPr>
    </w:p>
    <w:p w14:paraId="232D8E9F" w14:textId="25C52269" w:rsidR="00485C1B" w:rsidRDefault="00485C1B" w:rsidP="00C24210">
      <w:pPr>
        <w:jc w:val="both"/>
      </w:pPr>
    </w:p>
    <w:p w14:paraId="16C5D5E9" w14:textId="3EAC1539" w:rsidR="00485C1B" w:rsidRDefault="00485C1B" w:rsidP="00C24210">
      <w:pPr>
        <w:jc w:val="both"/>
      </w:pPr>
    </w:p>
    <w:p w14:paraId="6AB713C8" w14:textId="0C7EC4F6" w:rsidR="00485C1B" w:rsidRDefault="00485C1B" w:rsidP="00C24210">
      <w:pPr>
        <w:jc w:val="both"/>
      </w:pPr>
    </w:p>
    <w:p w14:paraId="7656DB05" w14:textId="7D1D3DDB" w:rsidR="00485C1B" w:rsidRDefault="00485C1B" w:rsidP="00C24210">
      <w:pPr>
        <w:jc w:val="both"/>
      </w:pPr>
    </w:p>
    <w:p w14:paraId="65DB0240" w14:textId="1DF24FA8" w:rsidR="00485C1B" w:rsidRDefault="00485C1B" w:rsidP="00C24210">
      <w:pPr>
        <w:jc w:val="both"/>
      </w:pPr>
    </w:p>
    <w:p w14:paraId="73E6A3EA" w14:textId="722B3793" w:rsidR="00485C1B" w:rsidRDefault="00485C1B" w:rsidP="00C24210">
      <w:pPr>
        <w:jc w:val="both"/>
      </w:pPr>
    </w:p>
    <w:p w14:paraId="7EFFEE12" w14:textId="3B5D297E" w:rsidR="00485C1B" w:rsidRDefault="00485C1B" w:rsidP="00C24210">
      <w:pPr>
        <w:jc w:val="both"/>
      </w:pPr>
    </w:p>
    <w:p w14:paraId="000D917B" w14:textId="77777777" w:rsidR="00485C1B" w:rsidRDefault="00485C1B" w:rsidP="00C24210">
      <w:pPr>
        <w:jc w:val="both"/>
      </w:pPr>
    </w:p>
    <w:p w14:paraId="7B8AA214" w14:textId="60E53B6E" w:rsidR="00485C1B" w:rsidRDefault="00485C1B" w:rsidP="00485C1B">
      <w:pPr>
        <w:pStyle w:val="MDPI51figurecaption"/>
      </w:pPr>
      <w:bookmarkStart w:id="1" w:name="_Hlk53741835"/>
      <w:r w:rsidRPr="00485C1B">
        <w:rPr>
          <w:b/>
          <w:bCs/>
        </w:rPr>
        <w:t xml:space="preserve">Supplementary Figure 5. </w:t>
      </w:r>
      <w:bookmarkStart w:id="2" w:name="_Hlk54703239"/>
      <w:r w:rsidRPr="00485C1B">
        <w:rPr>
          <w:b/>
          <w:bCs/>
        </w:rPr>
        <w:t xml:space="preserve">Relationship between </w:t>
      </w:r>
      <w:proofErr w:type="spellStart"/>
      <w:r w:rsidRPr="00485C1B">
        <w:rPr>
          <w:b/>
          <w:bCs/>
        </w:rPr>
        <w:t>pSTAT</w:t>
      </w:r>
      <w:proofErr w:type="spellEnd"/>
      <w:r w:rsidRPr="00485C1B">
        <w:rPr>
          <w:b/>
          <w:bCs/>
        </w:rPr>
        <w:t>/NF-</w:t>
      </w:r>
      <w:r w:rsidRPr="00485C1B">
        <w:rPr>
          <w:rFonts w:ascii="Symbol" w:hAnsi="Symbol"/>
          <w:b/>
          <w:bCs/>
        </w:rPr>
        <w:t>k</w:t>
      </w:r>
      <w:r w:rsidRPr="00485C1B">
        <w:rPr>
          <w:b/>
          <w:bCs/>
        </w:rPr>
        <w:t>B p65 signals and cell size during B cell differentiation.</w:t>
      </w:r>
      <w:r>
        <w:rPr>
          <w:b/>
          <w:bCs/>
        </w:rPr>
        <w:t xml:space="preserve"> </w:t>
      </w:r>
      <w:bookmarkEnd w:id="1"/>
      <w:bookmarkEnd w:id="2"/>
      <w:r>
        <w:t>Human B cells were stimulated with human-CD40L expressing 3T3 feeder layer, an anti-Ig F(ab)</w:t>
      </w:r>
      <w:r>
        <w:rPr>
          <w:vertAlign w:val="subscript"/>
        </w:rPr>
        <w:t>2</w:t>
      </w:r>
      <w:r>
        <w:t xml:space="preserve"> mix (5 ug/ml) targeting IgM/IgG/IgA and recombinant cytokines IL-4 (25 ng/ml) and IL-21 (50 ng/ml) and multiple signaling proteins were analyzed by phosphoflow analysis over the course of 6-day culture.</w:t>
      </w:r>
      <w:r>
        <w:t xml:space="preserve"> </w:t>
      </w:r>
      <w:r w:rsidRPr="00485C1B">
        <w:rPr>
          <w:b/>
          <w:bCs/>
        </w:rPr>
        <w:t>(A)</w:t>
      </w:r>
      <w:r>
        <w:t xml:space="preserve"> Representative dot plot of CD27/CD38 subpopulations after 120h of stimulation (left) and representative histogram of CD19 expression of CD27</w:t>
      </w:r>
      <w:r>
        <w:rPr>
          <w:vertAlign w:val="superscript"/>
        </w:rPr>
        <w:t>-</w:t>
      </w:r>
      <w:r>
        <w:t>CD38</w:t>
      </w:r>
      <w:r>
        <w:rPr>
          <w:vertAlign w:val="superscript"/>
        </w:rPr>
        <w:t>-</w:t>
      </w:r>
      <w:r>
        <w:t xml:space="preserve"> and CD27</w:t>
      </w:r>
      <w:r>
        <w:rPr>
          <w:vertAlign w:val="superscript"/>
        </w:rPr>
        <w:t>+</w:t>
      </w:r>
      <w:r>
        <w:t>CD38</w:t>
      </w:r>
      <w:r>
        <w:rPr>
          <w:vertAlign w:val="superscript"/>
        </w:rPr>
        <w:t>+</w:t>
      </w:r>
      <w:r>
        <w:t xml:space="preserve"> subpopulations during phosphoflow analysis.</w:t>
      </w:r>
      <w:r>
        <w:t xml:space="preserve"> </w:t>
      </w:r>
      <w:r w:rsidRPr="00485C1B">
        <w:rPr>
          <w:b/>
          <w:bCs/>
        </w:rPr>
        <w:t>(B)</w:t>
      </w:r>
      <w:r>
        <w:t xml:space="preserve"> Quantification of CD19 expression (top) and FSC-A (bottom) of CD27/CD38 subpopulations after 120h of stimulation during phosphoflow analysis. Fold change was calculated by normalizing to the CD27</w:t>
      </w:r>
      <w:r>
        <w:rPr>
          <w:vertAlign w:val="superscript"/>
        </w:rPr>
        <w:t>-</w:t>
      </w:r>
      <w:r>
        <w:t>CD38</w:t>
      </w:r>
      <w:r>
        <w:rPr>
          <w:vertAlign w:val="superscript"/>
        </w:rPr>
        <w:t>-</w:t>
      </w:r>
      <w:r>
        <w:t xml:space="preserve"> population. Each dot represents an independent donor and mean values are represented as bars </w:t>
      </w:r>
      <w:r>
        <w:lastRenderedPageBreak/>
        <w:t>(n=4). P values were calculated using Tukey’s multiple comparison test, * p &lt; 0.05, ** p &lt; 0.01, **** p &lt; 0.0001.</w:t>
      </w:r>
      <w:r>
        <w:t xml:space="preserve"> </w:t>
      </w:r>
      <w:r w:rsidRPr="00485C1B">
        <w:rPr>
          <w:b/>
          <w:bCs/>
        </w:rPr>
        <w:t>(C)</w:t>
      </w:r>
      <w:r>
        <w:t xml:space="preserve"> Quantification of FSC-A of sorted naïve or memory B cells after stimulation up to 72h with anti-Ig F(ab)</w:t>
      </w:r>
      <w:r>
        <w:rPr>
          <w:vertAlign w:val="subscript"/>
        </w:rPr>
        <w:t>2</w:t>
      </w:r>
      <w:r>
        <w:t xml:space="preserve"> alone or together with CD40L, IL-21 and/or IL-4. Fold change was calculated by normalizing FSC-A to the unstimulated condition (n=3). P values were calculated comparing stimulated conditions versus the unstimulated control condition using a mixed-effect analysis with Dunnett’s multiple comparison test. * p &lt; 0.05, ** p &lt; 0.01, **** p &lt; 0.0001. </w:t>
      </w:r>
      <w:r w:rsidRPr="00485C1B">
        <w:rPr>
          <w:b/>
          <w:bCs/>
        </w:rPr>
        <w:t>(D)</w:t>
      </w:r>
      <w:r>
        <w:t xml:space="preserve"> Representative contour plot overlays of stimulated naïve or memory B cells after 72h either or not stimulated with anti-Ig F(ab)</w:t>
      </w:r>
      <w:r>
        <w:rPr>
          <w:vertAlign w:val="subscript"/>
        </w:rPr>
        <w:t>2</w:t>
      </w:r>
      <w:r>
        <w:t xml:space="preserve">, CD40L, IL-21 or IL-4. The FSC-A parameter is </w:t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69C0AC99" wp14:editId="16FFB97E">
            <wp:simplePos x="0" y="0"/>
            <wp:positionH relativeFrom="column">
              <wp:posOffset>-247650</wp:posOffset>
            </wp:positionH>
            <wp:positionV relativeFrom="paragraph">
              <wp:posOffset>1548130</wp:posOffset>
            </wp:positionV>
            <wp:extent cx="5943600" cy="3780790"/>
            <wp:effectExtent l="0" t="0" r="0" b="0"/>
            <wp:wrapTight wrapText="bothSides">
              <wp:wrapPolygon edited="0">
                <wp:start x="0" y="0"/>
                <wp:lineTo x="0" y="21440"/>
                <wp:lineTo x="21531" y="21440"/>
                <wp:lineTo x="21531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plotted against measured signaling proteins.</w:t>
      </w:r>
    </w:p>
    <w:p w14:paraId="0C244670" w14:textId="624D5BD3" w:rsidR="00485C1B" w:rsidRPr="003971D2" w:rsidRDefault="00485C1B" w:rsidP="00485C1B">
      <w:pPr>
        <w:pStyle w:val="MDPI51figurecaption"/>
      </w:pPr>
      <w:r w:rsidRPr="00485C1B">
        <w:rPr>
          <w:b/>
          <w:bCs/>
        </w:rPr>
        <w:t>Supplementary Figure 6. Stimulated CD27/CD38 subpopulations show significant differences in CD19 expression and FSC-A during TF-flow analysis</w:t>
      </w:r>
      <w:r>
        <w:rPr>
          <w:b/>
          <w:bCs/>
        </w:rPr>
        <w:t xml:space="preserve">. </w:t>
      </w:r>
      <w:r>
        <w:t>Human B cells (n=3) were stimulated with an anti-Ig F(ab)</w:t>
      </w:r>
      <w:r w:rsidRPr="008903F5">
        <w:t>2</w:t>
      </w:r>
      <w:r>
        <w:t xml:space="preserve"> mix (5 ug/ml) and recombinant cytokines IL-4 (25 ng/ml) and IL-21 (50 ng/ml) for 6 days and analyzed for the protein expression of transcription factors. </w:t>
      </w:r>
      <w:r w:rsidRPr="00485C1B">
        <w:rPr>
          <w:b/>
          <w:bCs/>
        </w:rPr>
        <w:t>(A)</w:t>
      </w:r>
      <w:r>
        <w:t xml:space="preserve"> Representative dot plot of CD27/CD38 expression after 6 days of stimulation and gating of CD27</w:t>
      </w:r>
      <w:r>
        <w:rPr>
          <w:vertAlign w:val="superscript"/>
        </w:rPr>
        <w:t>-</w:t>
      </w:r>
      <w:r>
        <w:t>CD38</w:t>
      </w:r>
      <w:r>
        <w:rPr>
          <w:vertAlign w:val="superscript"/>
        </w:rPr>
        <w:t>-</w:t>
      </w:r>
      <w:r>
        <w:t xml:space="preserve"> and CD27</w:t>
      </w:r>
      <w:r>
        <w:rPr>
          <w:vertAlign w:val="superscript"/>
        </w:rPr>
        <w:t>+</w:t>
      </w:r>
      <w:r>
        <w:t>CD38</w:t>
      </w:r>
      <w:r>
        <w:rPr>
          <w:vertAlign w:val="superscript"/>
        </w:rPr>
        <w:t>+</w:t>
      </w:r>
      <w:r>
        <w:t xml:space="preserve"> subpopulations during TF-flow analysis.</w:t>
      </w:r>
      <w:r>
        <w:t xml:space="preserve"> </w:t>
      </w:r>
      <w:r w:rsidRPr="00485C1B">
        <w:rPr>
          <w:b/>
          <w:bCs/>
        </w:rPr>
        <w:t>(B)</w:t>
      </w:r>
      <w:r>
        <w:t xml:space="preserve"> Representative contour plot overlay of CD27</w:t>
      </w:r>
      <w:r>
        <w:rPr>
          <w:vertAlign w:val="superscript"/>
        </w:rPr>
        <w:t>-</w:t>
      </w:r>
      <w:r>
        <w:t>CD38</w:t>
      </w:r>
      <w:r>
        <w:rPr>
          <w:vertAlign w:val="superscript"/>
        </w:rPr>
        <w:t>-</w:t>
      </w:r>
      <w:r>
        <w:t xml:space="preserve"> and CD27</w:t>
      </w:r>
      <w:r>
        <w:rPr>
          <w:vertAlign w:val="superscript"/>
        </w:rPr>
        <w:t>+</w:t>
      </w:r>
      <w:r>
        <w:t>CD38</w:t>
      </w:r>
      <w:r>
        <w:rPr>
          <w:vertAlign w:val="superscript"/>
        </w:rPr>
        <w:t>+</w:t>
      </w:r>
      <w:r>
        <w:t xml:space="preserve"> subpopulations and PAX (top) and BLIMP1 (bottom) expression compared to FSC-A parameter.</w:t>
      </w:r>
      <w:r>
        <w:t xml:space="preserve"> </w:t>
      </w:r>
      <w:r w:rsidRPr="00485C1B">
        <w:rPr>
          <w:b/>
          <w:bCs/>
        </w:rPr>
        <w:t>(C)</w:t>
      </w:r>
      <w:r>
        <w:t xml:space="preserve"> Representative contour plot overlay of CD27</w:t>
      </w:r>
      <w:r>
        <w:rPr>
          <w:vertAlign w:val="superscript"/>
        </w:rPr>
        <w:t>-</w:t>
      </w:r>
      <w:r>
        <w:t>CD38</w:t>
      </w:r>
      <w:r>
        <w:rPr>
          <w:vertAlign w:val="superscript"/>
        </w:rPr>
        <w:t>-</w:t>
      </w:r>
      <w:r>
        <w:t xml:space="preserve"> and CD27</w:t>
      </w:r>
      <w:r>
        <w:rPr>
          <w:vertAlign w:val="superscript"/>
        </w:rPr>
        <w:t>+</w:t>
      </w:r>
      <w:r>
        <w:t>CD38</w:t>
      </w:r>
      <w:r>
        <w:rPr>
          <w:vertAlign w:val="superscript"/>
        </w:rPr>
        <w:t>+</w:t>
      </w:r>
      <w:r>
        <w:t xml:space="preserve"> subpopulations and PAX5 (top) and BLIMP1 (bottom) expression compared to the expression of CD19.</w:t>
      </w:r>
    </w:p>
    <w:p w14:paraId="5A9335F5" w14:textId="38FD1A42" w:rsidR="00C24210" w:rsidRDefault="00C24210" w:rsidP="00C24210">
      <w:pPr>
        <w:jc w:val="both"/>
      </w:pPr>
    </w:p>
    <w:sectPr w:rsidR="00C2421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4210"/>
    <w:rsid w:val="001333A3"/>
    <w:rsid w:val="00485C1B"/>
    <w:rsid w:val="007C42A6"/>
    <w:rsid w:val="00AE316D"/>
    <w:rsid w:val="00C24210"/>
    <w:rsid w:val="00CD553F"/>
    <w:rsid w:val="00DE37A7"/>
    <w:rsid w:val="00EA6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C95560E"/>
  <w15:chartTrackingRefBased/>
  <w15:docId w15:val="{902BC564-266F-4768-9480-0E35E6145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51figurecaption">
    <w:name w:val="MDPI_5.1_figure_caption"/>
    <w:basedOn w:val="Normal"/>
    <w:qFormat/>
    <w:rsid w:val="007C42A6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customStyle="1" w:styleId="MDPI11articletype">
    <w:name w:val="MDPI_1.1_article_type"/>
    <w:basedOn w:val="Normal"/>
    <w:next w:val="Normal"/>
    <w:qFormat/>
    <w:rsid w:val="007C42A6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color w:val="000000"/>
      <w:sz w:val="20"/>
      <w:lang w:eastAsia="de-DE" w:bidi="en-US"/>
    </w:rPr>
  </w:style>
  <w:style w:type="paragraph" w:customStyle="1" w:styleId="MDPI52figure">
    <w:name w:val="MDPI_5.2_figure"/>
    <w:qFormat/>
    <w:rsid w:val="007C42A6"/>
    <w:pPr>
      <w:spacing w:after="0" w:line="240" w:lineRule="auto"/>
      <w:jc w:val="center"/>
    </w:pPr>
    <w:rPr>
      <w:rFonts w:ascii="Palatino Linotype" w:eastAsia="Times New Roman" w:hAnsi="Palatino Linotype" w:cs="Times New Roman"/>
      <w:snapToGrid w:val="0"/>
      <w:color w:val="000000"/>
      <w:sz w:val="24"/>
      <w:szCs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811</Words>
  <Characters>4625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Casper Marsman</dc:creator>
  <cp:keywords/>
  <dc:description/>
  <cp:lastModifiedBy>Casper Marsman</cp:lastModifiedBy>
  <cp:revision>2</cp:revision>
  <dcterms:created xsi:type="dcterms:W3CDTF">2020-07-26T13:04:00Z</dcterms:created>
  <dcterms:modified xsi:type="dcterms:W3CDTF">2020-10-28T18:46:00Z</dcterms:modified>
</cp:coreProperties>
</file>